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2E5080D" w:rsidR="005E7182" w:rsidRPr="00B7321B" w:rsidRDefault="007301D9" w:rsidP="572F0BC0">
      <w:pPr>
        <w:pStyle w:val="Header"/>
        <w:tabs>
          <w:tab w:val="right" w:pos="9639"/>
        </w:tabs>
        <w:rPr>
          <w:noProof w:val="0"/>
          <w:sz w:val="24"/>
          <w:szCs w:val="24"/>
        </w:rPr>
      </w:pPr>
      <w:bookmarkStart w:id="0" w:name="_Hlk37418177"/>
      <w:bookmarkStart w:id="1" w:name="_Hlk148433929"/>
      <w:r w:rsidRPr="007301D9">
        <w:rPr>
          <w:noProof w:val="0"/>
          <w:sz w:val="24"/>
          <w:szCs w:val="24"/>
        </w:rPr>
        <w:t>3GPP TSG RAN WG</w:t>
      </w:r>
      <w:r w:rsidR="00532D2C">
        <w:rPr>
          <w:noProof w:val="0"/>
          <w:sz w:val="24"/>
          <w:szCs w:val="24"/>
        </w:rPr>
        <w:t>2</w:t>
      </w:r>
      <w:r w:rsidRPr="007301D9">
        <w:rPr>
          <w:noProof w:val="0"/>
          <w:sz w:val="24"/>
          <w:szCs w:val="24"/>
        </w:rPr>
        <w:t xml:space="preserve"> #1</w:t>
      </w:r>
      <w:r w:rsidR="00532D2C">
        <w:rPr>
          <w:noProof w:val="0"/>
          <w:sz w:val="24"/>
          <w:szCs w:val="24"/>
        </w:rPr>
        <w:t>32</w:t>
      </w:r>
      <w:r w:rsidR="005E7182">
        <w:tab/>
      </w:r>
      <w:r w:rsidR="00933F54" w:rsidRPr="572F0BC0">
        <w:rPr>
          <w:noProof w:val="0"/>
          <w:sz w:val="24"/>
          <w:szCs w:val="24"/>
        </w:rPr>
        <w:t>R</w:t>
      </w:r>
      <w:r w:rsidR="00532D2C">
        <w:rPr>
          <w:noProof w:val="0"/>
          <w:sz w:val="24"/>
          <w:szCs w:val="24"/>
        </w:rPr>
        <w:t>2</w:t>
      </w:r>
      <w:r w:rsidR="00933F54" w:rsidRPr="572F0BC0">
        <w:rPr>
          <w:noProof w:val="0"/>
          <w:sz w:val="24"/>
          <w:szCs w:val="24"/>
        </w:rPr>
        <w:t>-</w:t>
      </w:r>
      <w:r w:rsidR="00DA3882" w:rsidRPr="00DA3882">
        <w:rPr>
          <w:noProof w:val="0"/>
          <w:sz w:val="24"/>
          <w:szCs w:val="24"/>
        </w:rPr>
        <w:t>250</w:t>
      </w:r>
      <w:r w:rsidR="00532D2C">
        <w:rPr>
          <w:noProof w:val="0"/>
          <w:sz w:val="24"/>
          <w:szCs w:val="24"/>
        </w:rPr>
        <w:t>8695</w:t>
      </w:r>
      <w:bookmarkEnd w:id="0"/>
      <w:bookmarkEnd w:id="1"/>
    </w:p>
    <w:p w14:paraId="15E3FFA6" w14:textId="47283362" w:rsidR="1F0187D4" w:rsidRDefault="002A7B37" w:rsidP="572F0BC0">
      <w:pPr>
        <w:pStyle w:val="Header"/>
        <w:rPr>
          <w:noProof w:val="0"/>
          <w:sz w:val="24"/>
          <w:szCs w:val="24"/>
        </w:rPr>
      </w:pPr>
      <w:r w:rsidRPr="002A7B37">
        <w:rPr>
          <w:noProof w:val="0"/>
          <w:sz w:val="24"/>
          <w:szCs w:val="24"/>
        </w:rPr>
        <w:t>Dallas, USA, Nov 17th – 21st,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30A42F0B" w:rsidR="0034111C" w:rsidRPr="00307B3A" w:rsidRDefault="0034111C" w:rsidP="572F0BC0">
      <w:pPr>
        <w:pStyle w:val="CRCoverPage"/>
        <w:rPr>
          <w:rFonts w:cs="Arial"/>
          <w:b/>
          <w:bCs/>
          <w:sz w:val="24"/>
          <w:szCs w:val="24"/>
          <w:lang w:val="en-US"/>
        </w:rPr>
      </w:pPr>
      <w:r w:rsidRPr="00307B3A">
        <w:rPr>
          <w:rFonts w:cs="Arial"/>
          <w:b/>
          <w:bCs/>
          <w:sz w:val="24"/>
          <w:szCs w:val="24"/>
          <w:lang w:val="en-US"/>
        </w:rPr>
        <w:t>Agenda item</w:t>
      </w:r>
      <w:proofErr w:type="gramStart"/>
      <w:r w:rsidRPr="00307B3A">
        <w:rPr>
          <w:rFonts w:cs="Arial"/>
          <w:b/>
          <w:bCs/>
          <w:sz w:val="24"/>
          <w:szCs w:val="24"/>
          <w:lang w:val="en-US"/>
        </w:rPr>
        <w:t>:</w:t>
      </w:r>
      <w:r w:rsidRPr="00307B3A">
        <w:rPr>
          <w:sz w:val="24"/>
          <w:szCs w:val="24"/>
        </w:rPr>
        <w:tab/>
      </w:r>
      <w:r w:rsidRPr="00307B3A">
        <w:rPr>
          <w:sz w:val="24"/>
          <w:szCs w:val="24"/>
        </w:rPr>
        <w:tab/>
      </w:r>
      <w:r w:rsidR="6EE1DA4D" w:rsidRPr="00307B3A">
        <w:rPr>
          <w:rFonts w:cs="Arial"/>
          <w:b/>
          <w:bCs/>
          <w:sz w:val="24"/>
          <w:szCs w:val="24"/>
          <w:lang w:val="en-US"/>
        </w:rPr>
        <w:t>1</w:t>
      </w:r>
      <w:r w:rsidR="00276CF2">
        <w:rPr>
          <w:rFonts w:cs="Arial"/>
          <w:b/>
          <w:bCs/>
          <w:sz w:val="24"/>
          <w:szCs w:val="24"/>
          <w:lang w:val="en-US"/>
        </w:rPr>
        <w:t>0.4</w:t>
      </w:r>
      <w:proofErr w:type="gramEnd"/>
    </w:p>
    <w:p w14:paraId="30E02942" w14:textId="45BFF1E2" w:rsidR="00E128F2" w:rsidRPr="00307B3A" w:rsidRDefault="0034111C" w:rsidP="004D4C1C">
      <w:pPr>
        <w:pStyle w:val="CRCoverPage"/>
        <w:rPr>
          <w:rFonts w:cs="Arial"/>
          <w:b/>
          <w:bCs/>
          <w:sz w:val="24"/>
          <w:szCs w:val="24"/>
          <w:lang w:val="en-US"/>
        </w:rPr>
      </w:pPr>
      <w:r w:rsidRPr="00307B3A">
        <w:rPr>
          <w:rFonts w:cs="Arial"/>
          <w:b/>
          <w:bCs/>
          <w:sz w:val="24"/>
          <w:szCs w:val="24"/>
          <w:lang w:val="en-US"/>
        </w:rPr>
        <w:t>Source: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AF1427">
        <w:rPr>
          <w:rFonts w:cs="Arial"/>
          <w:b/>
          <w:bCs/>
          <w:sz w:val="24"/>
          <w:szCs w:val="24"/>
          <w:lang w:val="en-US"/>
        </w:rPr>
        <w:t>IMU</w:t>
      </w:r>
    </w:p>
    <w:p w14:paraId="30E02943" w14:textId="3517AA68" w:rsidR="0034111C" w:rsidRPr="00307B3A" w:rsidRDefault="0034111C" w:rsidP="004D4C1C">
      <w:pPr>
        <w:pStyle w:val="CRCoverPage"/>
        <w:rPr>
          <w:rFonts w:cs="Arial"/>
          <w:b/>
          <w:bCs/>
          <w:sz w:val="24"/>
          <w:szCs w:val="24"/>
          <w:lang w:val="en-US"/>
        </w:rPr>
      </w:pPr>
      <w:r w:rsidRPr="00307B3A">
        <w:rPr>
          <w:rFonts w:cs="Arial"/>
          <w:b/>
          <w:bCs/>
          <w:sz w:val="24"/>
          <w:szCs w:val="24"/>
          <w:lang w:val="en-US"/>
        </w:rPr>
        <w:t>Title: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276CF2" w:rsidRPr="00276CF2">
        <w:rPr>
          <w:rFonts w:cs="Arial"/>
          <w:b/>
          <w:bCs/>
          <w:sz w:val="24"/>
          <w:szCs w:val="24"/>
          <w:lang w:val="en-US"/>
        </w:rPr>
        <w:t>Discussion on 6GR Mobility</w:t>
      </w:r>
    </w:p>
    <w:p w14:paraId="30E02944" w14:textId="471980A4" w:rsidR="0034111C" w:rsidRPr="00307B3A" w:rsidRDefault="0034111C" w:rsidP="004D4C1C">
      <w:pPr>
        <w:pStyle w:val="CRCoverPage"/>
        <w:rPr>
          <w:rFonts w:cs="Arial"/>
          <w:b/>
          <w:bCs/>
          <w:sz w:val="24"/>
          <w:szCs w:val="24"/>
          <w:lang w:val="en-US"/>
        </w:rPr>
      </w:pPr>
      <w:r w:rsidRPr="00307B3A">
        <w:rPr>
          <w:rFonts w:cs="Arial"/>
          <w:b/>
          <w:bCs/>
          <w:sz w:val="24"/>
          <w:szCs w:val="24"/>
          <w:lang w:val="en-US"/>
        </w:rPr>
        <w:t xml:space="preserve">Document </w:t>
      </w:r>
      <w:r w:rsidR="3E61DC49" w:rsidRPr="00307B3A">
        <w:rPr>
          <w:rFonts w:cs="Arial"/>
          <w:b/>
          <w:bCs/>
          <w:sz w:val="24"/>
          <w:szCs w:val="24"/>
          <w:lang w:val="en-US"/>
        </w:rPr>
        <w:t>for</w:t>
      </w:r>
      <w:proofErr w:type="gramStart"/>
      <w:r w:rsidR="3E61DC49" w:rsidRPr="00307B3A">
        <w:rPr>
          <w:rFonts w:cs="Arial"/>
          <w:b/>
          <w:bCs/>
          <w:sz w:val="24"/>
          <w:szCs w:val="24"/>
          <w:lang w:val="en-US"/>
        </w:rPr>
        <w:t>:</w:t>
      </w:r>
      <w:r w:rsidRPr="00B7321B">
        <w:rPr>
          <w:rFonts w:cs="Arial"/>
          <w:b/>
          <w:sz w:val="24"/>
          <w:lang w:val="en-US"/>
        </w:rPr>
        <w:tab/>
      </w:r>
      <w:r w:rsidR="00220615" w:rsidRPr="00B7321B">
        <w:rPr>
          <w:rFonts w:cs="Arial"/>
          <w:b/>
          <w:sz w:val="24"/>
          <w:lang w:val="en-US"/>
        </w:rPr>
        <w:tab/>
      </w:r>
      <w:r w:rsidRPr="00307B3A">
        <w:rPr>
          <w:rFonts w:cs="Arial"/>
          <w:b/>
          <w:bCs/>
          <w:sz w:val="24"/>
          <w:szCs w:val="24"/>
          <w:lang w:val="en-US"/>
        </w:rPr>
        <w:t>Discussion</w:t>
      </w:r>
      <w:proofErr w:type="gramEnd"/>
      <w:r w:rsidRPr="00307B3A">
        <w:rPr>
          <w:rFonts w:cs="Arial"/>
          <w:b/>
          <w:bCs/>
          <w:sz w:val="24"/>
          <w:szCs w:val="24"/>
          <w:lang w:val="en-US"/>
        </w:rPr>
        <w:t xml:space="preserve"> and Decision</w:t>
      </w:r>
    </w:p>
    <w:p w14:paraId="7CF7938E" w14:textId="633C7172" w:rsidR="00ED1327" w:rsidRPr="00B7321B" w:rsidRDefault="00EE7FA7" w:rsidP="00090989">
      <w:pPr>
        <w:pStyle w:val="Heading1"/>
        <w:rPr>
          <w:lang w:val="en-US"/>
        </w:rPr>
      </w:pPr>
      <w:bookmarkStart w:id="2" w:name="_Toc206169992"/>
      <w:bookmarkStart w:id="3" w:name="_Toc206170538"/>
      <w:bookmarkStart w:id="4" w:name="_Toc213400917"/>
      <w:r w:rsidRPr="572F0BC0">
        <w:rPr>
          <w:lang w:val="en-US"/>
        </w:rPr>
        <w:t>Introduction</w:t>
      </w:r>
      <w:bookmarkEnd w:id="2"/>
      <w:bookmarkEnd w:id="3"/>
      <w:bookmarkEnd w:id="4"/>
    </w:p>
    <w:p w14:paraId="33DEA907" w14:textId="0641400A" w:rsidR="009D79A9" w:rsidRPr="009D79A9" w:rsidRDefault="0020590B" w:rsidP="0020590B">
      <w:pPr>
        <w:rPr>
          <w:lang w:val="en-US"/>
        </w:rPr>
      </w:pPr>
      <w:r w:rsidRPr="0020590B">
        <w:rPr>
          <w:lang w:val="en-US"/>
        </w:rPr>
        <w:t xml:space="preserve">In this document, we present our view on mobility aspects of the 6G radio interface. We </w:t>
      </w:r>
      <w:r w:rsidR="00A3374F" w:rsidRPr="0020590B">
        <w:rPr>
          <w:lang w:val="en-US"/>
        </w:rPr>
        <w:t>analyze</w:t>
      </w:r>
      <w:r w:rsidRPr="0020590B">
        <w:rPr>
          <w:lang w:val="en-US"/>
        </w:rPr>
        <w:t xml:space="preserve"> the limitations and complexities observed in 5G NR mobility mechanisms such as L3 HO, CHO, DAPS, LTM, and CLTM, and outline design principles to avoid similar issues in 6G. The goal is to establish a unified and simplified mobility framework from day one, enabling seamless connectivity, low interruption, and high robustness across various RRC states and deployment scenarios. In addition, 6GR should support both new and legacy frequency bands and a wide range of device types, without being constrained by backward compatibility.</w:t>
      </w:r>
      <w:r w:rsidR="009D79A9">
        <w:rPr>
          <w:lang w:val="en-US"/>
        </w:rPr>
        <w:t xml:space="preserve"> </w:t>
      </w:r>
      <w:r w:rsidR="009D79A9" w:rsidRPr="007F4B17" w:rsidDel="00750DF4">
        <w:t xml:space="preserve">This </w:t>
      </w:r>
      <w:r>
        <w:t>contribution</w:t>
      </w:r>
      <w:r w:rsidR="009D79A9" w:rsidRPr="007F4B17" w:rsidDel="00750DF4">
        <w:t xml:space="preserve"> is organized as follows:</w:t>
      </w:r>
    </w:p>
    <w:sdt>
      <w:sdtPr>
        <w:rPr>
          <w:noProof w:val="0"/>
          <w:sz w:val="20"/>
          <w:lang w:val="en-GB"/>
        </w:rPr>
        <w:id w:val="-831365950"/>
        <w:docPartObj>
          <w:docPartGallery w:val="Table of Contents"/>
          <w:docPartUnique/>
        </w:docPartObj>
      </w:sdtPr>
      <w:sdtEndPr>
        <w:rPr>
          <w:b/>
          <w:bCs/>
        </w:rPr>
      </w:sdtEndPr>
      <w:sdtContent>
        <w:p w14:paraId="15BB0EEB" w14:textId="4768FCEB" w:rsidR="00824B3C" w:rsidRDefault="0023693C">
          <w:pPr>
            <w:pStyle w:val="TOC1"/>
            <w:rPr>
              <w:rFonts w:asciiTheme="minorHAnsi" w:eastAsiaTheme="minorEastAsia" w:hAnsiTheme="minorHAnsi" w:cstheme="minorBidi"/>
              <w:kern w:val="2"/>
              <w:sz w:val="24"/>
              <w:szCs w:val="24"/>
              <w14:ligatures w14:val="standardContextual"/>
            </w:rPr>
          </w:pPr>
          <w:r w:rsidRPr="00C64A08">
            <w:rPr>
              <w:sz w:val="20"/>
            </w:rPr>
            <w:fldChar w:fldCharType="begin"/>
          </w:r>
          <w:r w:rsidRPr="00C64A08">
            <w:rPr>
              <w:sz w:val="20"/>
            </w:rPr>
            <w:instrText xml:space="preserve"> TOC \o "1-3" \h \z \u </w:instrText>
          </w:r>
          <w:r w:rsidRPr="00C64A08">
            <w:rPr>
              <w:sz w:val="20"/>
            </w:rPr>
            <w:fldChar w:fldCharType="separate"/>
          </w:r>
          <w:hyperlink w:anchor="_Toc213400917" w:history="1">
            <w:r w:rsidR="00824B3C" w:rsidRPr="00A64B0F">
              <w:rPr>
                <w:rStyle w:val="Hyperlink"/>
              </w:rPr>
              <w:t>1</w:t>
            </w:r>
            <w:r w:rsidR="00824B3C">
              <w:rPr>
                <w:rFonts w:asciiTheme="minorHAnsi" w:eastAsiaTheme="minorEastAsia" w:hAnsiTheme="minorHAnsi" w:cstheme="minorBidi"/>
                <w:kern w:val="2"/>
                <w:sz w:val="24"/>
                <w:szCs w:val="24"/>
                <w14:ligatures w14:val="standardContextual"/>
              </w:rPr>
              <w:tab/>
            </w:r>
            <w:r w:rsidR="00824B3C" w:rsidRPr="00A64B0F">
              <w:rPr>
                <w:rStyle w:val="Hyperlink"/>
              </w:rPr>
              <w:t>Introduction</w:t>
            </w:r>
            <w:r w:rsidR="00824B3C">
              <w:rPr>
                <w:webHidden/>
              </w:rPr>
              <w:tab/>
            </w:r>
            <w:r w:rsidR="00824B3C">
              <w:rPr>
                <w:webHidden/>
              </w:rPr>
              <w:fldChar w:fldCharType="begin"/>
            </w:r>
            <w:r w:rsidR="00824B3C">
              <w:rPr>
                <w:webHidden/>
              </w:rPr>
              <w:instrText xml:space="preserve"> PAGEREF _Toc213400917 \h </w:instrText>
            </w:r>
            <w:r w:rsidR="00824B3C">
              <w:rPr>
                <w:webHidden/>
              </w:rPr>
            </w:r>
            <w:r w:rsidR="00824B3C">
              <w:rPr>
                <w:webHidden/>
              </w:rPr>
              <w:fldChar w:fldCharType="separate"/>
            </w:r>
            <w:r w:rsidR="00824B3C">
              <w:rPr>
                <w:webHidden/>
              </w:rPr>
              <w:t>1</w:t>
            </w:r>
            <w:r w:rsidR="00824B3C">
              <w:rPr>
                <w:webHidden/>
              </w:rPr>
              <w:fldChar w:fldCharType="end"/>
            </w:r>
          </w:hyperlink>
        </w:p>
        <w:p w14:paraId="44380724" w14:textId="332C6D94" w:rsidR="00824B3C" w:rsidRDefault="00824B3C">
          <w:pPr>
            <w:pStyle w:val="TOC1"/>
            <w:rPr>
              <w:rFonts w:asciiTheme="minorHAnsi" w:eastAsiaTheme="minorEastAsia" w:hAnsiTheme="minorHAnsi" w:cstheme="minorBidi"/>
              <w:kern w:val="2"/>
              <w:sz w:val="24"/>
              <w:szCs w:val="24"/>
              <w14:ligatures w14:val="standardContextual"/>
            </w:rPr>
          </w:pPr>
          <w:hyperlink w:anchor="_Toc213400918" w:history="1">
            <w:r w:rsidRPr="00A64B0F">
              <w:rPr>
                <w:rStyle w:val="Hyperlink"/>
              </w:rPr>
              <w:t>2</w:t>
            </w:r>
            <w:r>
              <w:rPr>
                <w:rFonts w:asciiTheme="minorHAnsi" w:eastAsiaTheme="minorEastAsia" w:hAnsiTheme="minorHAnsi" w:cstheme="minorBidi"/>
                <w:kern w:val="2"/>
                <w:sz w:val="24"/>
                <w:szCs w:val="24"/>
                <w14:ligatures w14:val="standardContextual"/>
              </w:rPr>
              <w:tab/>
            </w:r>
            <w:r w:rsidRPr="00A64B0F">
              <w:rPr>
                <w:rStyle w:val="Hyperlink"/>
              </w:rPr>
              <w:t>Discussion</w:t>
            </w:r>
            <w:r>
              <w:rPr>
                <w:webHidden/>
              </w:rPr>
              <w:tab/>
            </w:r>
            <w:r>
              <w:rPr>
                <w:webHidden/>
              </w:rPr>
              <w:fldChar w:fldCharType="begin"/>
            </w:r>
            <w:r>
              <w:rPr>
                <w:webHidden/>
              </w:rPr>
              <w:instrText xml:space="preserve"> PAGEREF _Toc213400918 \h </w:instrText>
            </w:r>
            <w:r>
              <w:rPr>
                <w:webHidden/>
              </w:rPr>
            </w:r>
            <w:r>
              <w:rPr>
                <w:webHidden/>
              </w:rPr>
              <w:fldChar w:fldCharType="separate"/>
            </w:r>
            <w:r>
              <w:rPr>
                <w:webHidden/>
              </w:rPr>
              <w:t>1</w:t>
            </w:r>
            <w:r>
              <w:rPr>
                <w:webHidden/>
              </w:rPr>
              <w:fldChar w:fldCharType="end"/>
            </w:r>
          </w:hyperlink>
        </w:p>
        <w:p w14:paraId="3476CBA4" w14:textId="754562DE" w:rsidR="00824B3C" w:rsidRDefault="00824B3C">
          <w:pPr>
            <w:pStyle w:val="TOC2"/>
            <w:rPr>
              <w:rFonts w:asciiTheme="minorHAnsi" w:eastAsiaTheme="minorEastAsia" w:hAnsiTheme="minorHAnsi" w:cstheme="minorBidi"/>
              <w:kern w:val="2"/>
              <w:sz w:val="24"/>
              <w:szCs w:val="24"/>
              <w14:ligatures w14:val="standardContextual"/>
            </w:rPr>
          </w:pPr>
          <w:hyperlink w:anchor="_Toc213400919" w:history="1">
            <w:r w:rsidRPr="00A64B0F">
              <w:rPr>
                <w:rStyle w:val="Hyperlink"/>
              </w:rPr>
              <w:t>2.1</w:t>
            </w:r>
            <w:r>
              <w:rPr>
                <w:rFonts w:asciiTheme="minorHAnsi" w:eastAsiaTheme="minorEastAsia" w:hAnsiTheme="minorHAnsi" w:cstheme="minorBidi"/>
                <w:kern w:val="2"/>
                <w:sz w:val="24"/>
                <w:szCs w:val="24"/>
                <w14:ligatures w14:val="standardContextual"/>
              </w:rPr>
              <w:tab/>
            </w:r>
            <w:r w:rsidRPr="00A64B0F">
              <w:rPr>
                <w:rStyle w:val="Hyperlink"/>
              </w:rPr>
              <w:t>Mobility Framework and Principles for 6G</w:t>
            </w:r>
            <w:r>
              <w:rPr>
                <w:webHidden/>
              </w:rPr>
              <w:tab/>
            </w:r>
            <w:r>
              <w:rPr>
                <w:webHidden/>
              </w:rPr>
              <w:fldChar w:fldCharType="begin"/>
            </w:r>
            <w:r>
              <w:rPr>
                <w:webHidden/>
              </w:rPr>
              <w:instrText xml:space="preserve"> PAGEREF _Toc213400919 \h </w:instrText>
            </w:r>
            <w:r>
              <w:rPr>
                <w:webHidden/>
              </w:rPr>
            </w:r>
            <w:r>
              <w:rPr>
                <w:webHidden/>
              </w:rPr>
              <w:fldChar w:fldCharType="separate"/>
            </w:r>
            <w:r>
              <w:rPr>
                <w:webHidden/>
              </w:rPr>
              <w:t>1</w:t>
            </w:r>
            <w:r>
              <w:rPr>
                <w:webHidden/>
              </w:rPr>
              <w:fldChar w:fldCharType="end"/>
            </w:r>
          </w:hyperlink>
        </w:p>
        <w:p w14:paraId="4C6F2B11" w14:textId="43EB02BD" w:rsidR="00824B3C" w:rsidRDefault="00824B3C">
          <w:pPr>
            <w:pStyle w:val="TOC3"/>
            <w:rPr>
              <w:rFonts w:asciiTheme="minorHAnsi" w:eastAsiaTheme="minorEastAsia" w:hAnsiTheme="minorHAnsi" w:cstheme="minorBidi"/>
              <w:kern w:val="2"/>
              <w:sz w:val="24"/>
              <w:szCs w:val="24"/>
              <w14:ligatures w14:val="standardContextual"/>
            </w:rPr>
          </w:pPr>
          <w:hyperlink w:anchor="_Toc213400920" w:history="1">
            <w:r w:rsidRPr="00A64B0F">
              <w:rPr>
                <w:rStyle w:val="Hyperlink"/>
                <w:lang w:eastAsia="zh-CN"/>
              </w:rPr>
              <w:t>2.1.1</w:t>
            </w:r>
            <w:r>
              <w:rPr>
                <w:rFonts w:asciiTheme="minorHAnsi" w:eastAsiaTheme="minorEastAsia" w:hAnsiTheme="minorHAnsi" w:cstheme="minorBidi"/>
                <w:kern w:val="2"/>
                <w:sz w:val="24"/>
                <w:szCs w:val="24"/>
                <w14:ligatures w14:val="standardContextual"/>
              </w:rPr>
              <w:tab/>
            </w:r>
            <w:r w:rsidRPr="00A64B0F">
              <w:rPr>
                <w:rStyle w:val="Hyperlink"/>
                <w:lang w:eastAsia="zh-CN"/>
              </w:rPr>
              <w:t>Unified Mobility Framework</w:t>
            </w:r>
            <w:r>
              <w:rPr>
                <w:webHidden/>
              </w:rPr>
              <w:tab/>
            </w:r>
            <w:r>
              <w:rPr>
                <w:webHidden/>
              </w:rPr>
              <w:fldChar w:fldCharType="begin"/>
            </w:r>
            <w:r>
              <w:rPr>
                <w:webHidden/>
              </w:rPr>
              <w:instrText xml:space="preserve"> PAGEREF _Toc213400920 \h </w:instrText>
            </w:r>
            <w:r>
              <w:rPr>
                <w:webHidden/>
              </w:rPr>
            </w:r>
            <w:r>
              <w:rPr>
                <w:webHidden/>
              </w:rPr>
              <w:fldChar w:fldCharType="separate"/>
            </w:r>
            <w:r>
              <w:rPr>
                <w:webHidden/>
              </w:rPr>
              <w:t>1</w:t>
            </w:r>
            <w:r>
              <w:rPr>
                <w:webHidden/>
              </w:rPr>
              <w:fldChar w:fldCharType="end"/>
            </w:r>
          </w:hyperlink>
        </w:p>
        <w:p w14:paraId="5FD418DF" w14:textId="66EC4D10" w:rsidR="00824B3C" w:rsidRDefault="00824B3C">
          <w:pPr>
            <w:pStyle w:val="TOC3"/>
            <w:rPr>
              <w:rFonts w:asciiTheme="minorHAnsi" w:eastAsiaTheme="minorEastAsia" w:hAnsiTheme="minorHAnsi" w:cstheme="minorBidi"/>
              <w:kern w:val="2"/>
              <w:sz w:val="24"/>
              <w:szCs w:val="24"/>
              <w14:ligatures w14:val="standardContextual"/>
            </w:rPr>
          </w:pPr>
          <w:hyperlink w:anchor="_Toc213400921" w:history="1">
            <w:r w:rsidRPr="00A64B0F">
              <w:rPr>
                <w:rStyle w:val="Hyperlink"/>
                <w:lang w:eastAsia="zh-CN"/>
              </w:rPr>
              <w:t>2.1.2</w:t>
            </w:r>
            <w:r>
              <w:rPr>
                <w:rFonts w:asciiTheme="minorHAnsi" w:eastAsiaTheme="minorEastAsia" w:hAnsiTheme="minorHAnsi" w:cstheme="minorBidi"/>
                <w:kern w:val="2"/>
                <w:sz w:val="24"/>
                <w:szCs w:val="24"/>
                <w14:ligatures w14:val="standardContextual"/>
              </w:rPr>
              <w:tab/>
            </w:r>
            <w:r w:rsidRPr="00A64B0F">
              <w:rPr>
                <w:rStyle w:val="Hyperlink"/>
                <w:lang w:eastAsia="zh-CN"/>
              </w:rPr>
              <w:t>Unified Mobility Framework across 6GR Device Types</w:t>
            </w:r>
            <w:r>
              <w:rPr>
                <w:webHidden/>
              </w:rPr>
              <w:tab/>
            </w:r>
            <w:r>
              <w:rPr>
                <w:webHidden/>
              </w:rPr>
              <w:fldChar w:fldCharType="begin"/>
            </w:r>
            <w:r>
              <w:rPr>
                <w:webHidden/>
              </w:rPr>
              <w:instrText xml:space="preserve"> PAGEREF _Toc213400921 \h </w:instrText>
            </w:r>
            <w:r>
              <w:rPr>
                <w:webHidden/>
              </w:rPr>
            </w:r>
            <w:r>
              <w:rPr>
                <w:webHidden/>
              </w:rPr>
              <w:fldChar w:fldCharType="separate"/>
            </w:r>
            <w:r>
              <w:rPr>
                <w:webHidden/>
              </w:rPr>
              <w:t>2</w:t>
            </w:r>
            <w:r>
              <w:rPr>
                <w:webHidden/>
              </w:rPr>
              <w:fldChar w:fldCharType="end"/>
            </w:r>
          </w:hyperlink>
        </w:p>
        <w:p w14:paraId="66CAF9DA" w14:textId="6C2B9C2A" w:rsidR="00824B3C" w:rsidRDefault="00824B3C">
          <w:pPr>
            <w:pStyle w:val="TOC3"/>
            <w:rPr>
              <w:rFonts w:asciiTheme="minorHAnsi" w:eastAsiaTheme="minorEastAsia" w:hAnsiTheme="minorHAnsi" w:cstheme="minorBidi"/>
              <w:kern w:val="2"/>
              <w:sz w:val="24"/>
              <w:szCs w:val="24"/>
              <w14:ligatures w14:val="standardContextual"/>
            </w:rPr>
          </w:pPr>
          <w:hyperlink w:anchor="_Toc213400922" w:history="1">
            <w:r w:rsidRPr="00A64B0F">
              <w:rPr>
                <w:rStyle w:val="Hyperlink"/>
                <w:lang w:eastAsia="zh-CN"/>
              </w:rPr>
              <w:t>2.1.3</w:t>
            </w:r>
            <w:r>
              <w:rPr>
                <w:rFonts w:asciiTheme="minorHAnsi" w:eastAsiaTheme="minorEastAsia" w:hAnsiTheme="minorHAnsi" w:cstheme="minorBidi"/>
                <w:kern w:val="2"/>
                <w:sz w:val="24"/>
                <w:szCs w:val="24"/>
                <w14:ligatures w14:val="standardContextual"/>
              </w:rPr>
              <w:tab/>
            </w:r>
            <w:r w:rsidRPr="00A64B0F">
              <w:rPr>
                <w:rStyle w:val="Hyperlink"/>
                <w:lang w:eastAsia="zh-CN"/>
              </w:rPr>
              <w:t>RACH-less vs RACH-based Mobility</w:t>
            </w:r>
            <w:r>
              <w:rPr>
                <w:webHidden/>
              </w:rPr>
              <w:tab/>
            </w:r>
            <w:r>
              <w:rPr>
                <w:webHidden/>
              </w:rPr>
              <w:fldChar w:fldCharType="begin"/>
            </w:r>
            <w:r>
              <w:rPr>
                <w:webHidden/>
              </w:rPr>
              <w:instrText xml:space="preserve"> PAGEREF _Toc213400922 \h </w:instrText>
            </w:r>
            <w:r>
              <w:rPr>
                <w:webHidden/>
              </w:rPr>
            </w:r>
            <w:r>
              <w:rPr>
                <w:webHidden/>
              </w:rPr>
              <w:fldChar w:fldCharType="separate"/>
            </w:r>
            <w:r>
              <w:rPr>
                <w:webHidden/>
              </w:rPr>
              <w:t>2</w:t>
            </w:r>
            <w:r>
              <w:rPr>
                <w:webHidden/>
              </w:rPr>
              <w:fldChar w:fldCharType="end"/>
            </w:r>
          </w:hyperlink>
        </w:p>
        <w:p w14:paraId="13E00E0B" w14:textId="4E3FAE91" w:rsidR="00824B3C" w:rsidRDefault="00824B3C">
          <w:pPr>
            <w:pStyle w:val="TOC2"/>
            <w:rPr>
              <w:rFonts w:asciiTheme="minorHAnsi" w:eastAsiaTheme="minorEastAsia" w:hAnsiTheme="minorHAnsi" w:cstheme="minorBidi"/>
              <w:kern w:val="2"/>
              <w:sz w:val="24"/>
              <w:szCs w:val="24"/>
              <w14:ligatures w14:val="standardContextual"/>
            </w:rPr>
          </w:pPr>
          <w:hyperlink w:anchor="_Toc213400923" w:history="1">
            <w:r w:rsidRPr="00A64B0F">
              <w:rPr>
                <w:rStyle w:val="Hyperlink"/>
              </w:rPr>
              <w:t>2.2</w:t>
            </w:r>
            <w:r>
              <w:rPr>
                <w:rFonts w:asciiTheme="minorHAnsi" w:eastAsiaTheme="minorEastAsia" w:hAnsiTheme="minorHAnsi" w:cstheme="minorBidi"/>
                <w:kern w:val="2"/>
                <w:sz w:val="24"/>
                <w:szCs w:val="24"/>
                <w14:ligatures w14:val="standardContextual"/>
              </w:rPr>
              <w:tab/>
            </w:r>
            <w:r w:rsidRPr="00A64B0F">
              <w:rPr>
                <w:rStyle w:val="Hyperlink"/>
              </w:rPr>
              <w:t>AI/ML for 6GR Mobility</w:t>
            </w:r>
            <w:r>
              <w:rPr>
                <w:webHidden/>
              </w:rPr>
              <w:tab/>
            </w:r>
            <w:r>
              <w:rPr>
                <w:webHidden/>
              </w:rPr>
              <w:fldChar w:fldCharType="begin"/>
            </w:r>
            <w:r>
              <w:rPr>
                <w:webHidden/>
              </w:rPr>
              <w:instrText xml:space="preserve"> PAGEREF _Toc213400923 \h </w:instrText>
            </w:r>
            <w:r>
              <w:rPr>
                <w:webHidden/>
              </w:rPr>
            </w:r>
            <w:r>
              <w:rPr>
                <w:webHidden/>
              </w:rPr>
              <w:fldChar w:fldCharType="separate"/>
            </w:r>
            <w:r>
              <w:rPr>
                <w:webHidden/>
              </w:rPr>
              <w:t>3</w:t>
            </w:r>
            <w:r>
              <w:rPr>
                <w:webHidden/>
              </w:rPr>
              <w:fldChar w:fldCharType="end"/>
            </w:r>
          </w:hyperlink>
        </w:p>
        <w:p w14:paraId="15877A6A" w14:textId="60F53AE7" w:rsidR="00824B3C" w:rsidRDefault="00824B3C">
          <w:pPr>
            <w:pStyle w:val="TOC1"/>
            <w:rPr>
              <w:rFonts w:asciiTheme="minorHAnsi" w:eastAsiaTheme="minorEastAsia" w:hAnsiTheme="minorHAnsi" w:cstheme="minorBidi"/>
              <w:kern w:val="2"/>
              <w:sz w:val="24"/>
              <w:szCs w:val="24"/>
              <w14:ligatures w14:val="standardContextual"/>
            </w:rPr>
          </w:pPr>
          <w:hyperlink w:anchor="_Toc213400924" w:history="1">
            <w:r w:rsidRPr="00A64B0F">
              <w:rPr>
                <w:rStyle w:val="Hyperlink"/>
              </w:rPr>
              <w:t>3</w:t>
            </w:r>
            <w:r>
              <w:rPr>
                <w:rFonts w:asciiTheme="minorHAnsi" w:eastAsiaTheme="minorEastAsia" w:hAnsiTheme="minorHAnsi" w:cstheme="minorBidi"/>
                <w:kern w:val="2"/>
                <w:sz w:val="24"/>
                <w:szCs w:val="24"/>
                <w14:ligatures w14:val="standardContextual"/>
              </w:rPr>
              <w:tab/>
            </w:r>
            <w:r w:rsidRPr="00A64B0F">
              <w:rPr>
                <w:rStyle w:val="Hyperlink"/>
              </w:rPr>
              <w:t>Conclusion</w:t>
            </w:r>
            <w:r>
              <w:rPr>
                <w:webHidden/>
              </w:rPr>
              <w:tab/>
            </w:r>
            <w:r>
              <w:rPr>
                <w:webHidden/>
              </w:rPr>
              <w:fldChar w:fldCharType="begin"/>
            </w:r>
            <w:r>
              <w:rPr>
                <w:webHidden/>
              </w:rPr>
              <w:instrText xml:space="preserve"> PAGEREF _Toc213400924 \h </w:instrText>
            </w:r>
            <w:r>
              <w:rPr>
                <w:webHidden/>
              </w:rPr>
            </w:r>
            <w:r>
              <w:rPr>
                <w:webHidden/>
              </w:rPr>
              <w:fldChar w:fldCharType="separate"/>
            </w:r>
            <w:r>
              <w:rPr>
                <w:webHidden/>
              </w:rPr>
              <w:t>3</w:t>
            </w:r>
            <w:r>
              <w:rPr>
                <w:webHidden/>
              </w:rPr>
              <w:fldChar w:fldCharType="end"/>
            </w:r>
          </w:hyperlink>
        </w:p>
        <w:p w14:paraId="63BEC4F1" w14:textId="096FF3C0" w:rsidR="0023693C" w:rsidRPr="0097031B" w:rsidRDefault="0023693C" w:rsidP="00071D03">
          <w:pPr>
            <w:spacing w:after="0"/>
          </w:pPr>
          <w:r w:rsidRPr="00C64A08">
            <w:rPr>
              <w:b/>
              <w:bCs/>
              <w:noProof/>
            </w:rPr>
            <w:fldChar w:fldCharType="end"/>
          </w:r>
        </w:p>
      </w:sdtContent>
    </w:sdt>
    <w:p w14:paraId="0E05588B" w14:textId="3D744DEB" w:rsidR="00357393" w:rsidRDefault="00915A78" w:rsidP="572F0BC0">
      <w:pPr>
        <w:pStyle w:val="Heading1"/>
        <w:spacing w:line="259" w:lineRule="auto"/>
        <w:rPr>
          <w:lang w:val="en-US"/>
        </w:rPr>
      </w:pPr>
      <w:bookmarkStart w:id="5" w:name="_Toc213400918"/>
      <w:r>
        <w:rPr>
          <w:lang w:val="en-US"/>
        </w:rPr>
        <w:t>Discussion</w:t>
      </w:r>
      <w:bookmarkEnd w:id="5"/>
    </w:p>
    <w:p w14:paraId="604A4854" w14:textId="6D4138A9" w:rsidR="002C5C1E" w:rsidRDefault="00915A78" w:rsidP="00012B1D">
      <w:pPr>
        <w:pStyle w:val="Heading2"/>
        <w:rPr>
          <w:lang w:val="en-US"/>
        </w:rPr>
      </w:pPr>
      <w:bookmarkStart w:id="6" w:name="_Toc213400919"/>
      <w:r w:rsidRPr="00915A78">
        <w:rPr>
          <w:lang w:val="en-US"/>
        </w:rPr>
        <w:t>Mobility Framework and Principles for 6G</w:t>
      </w:r>
      <w:bookmarkEnd w:id="6"/>
    </w:p>
    <w:p w14:paraId="74B981E3" w14:textId="234C7214" w:rsidR="008C0DD4" w:rsidRDefault="00915A78" w:rsidP="00915A78">
      <w:pPr>
        <w:pStyle w:val="Heading3"/>
        <w:rPr>
          <w:lang w:eastAsia="zh-CN"/>
        </w:rPr>
      </w:pPr>
      <w:bookmarkStart w:id="7" w:name="_Toc213400920"/>
      <w:r w:rsidRPr="00915A78">
        <w:rPr>
          <w:lang w:eastAsia="zh-CN"/>
        </w:rPr>
        <w:t>Unified Mobility Framework</w:t>
      </w:r>
      <w:bookmarkEnd w:id="7"/>
    </w:p>
    <w:p w14:paraId="78DB8B75" w14:textId="77777777" w:rsidR="00915A78" w:rsidRDefault="00915A78" w:rsidP="00915A78">
      <w:pPr>
        <w:rPr>
          <w:lang w:eastAsia="zh-CN"/>
        </w:rPr>
      </w:pPr>
      <w:r>
        <w:rPr>
          <w:lang w:eastAsia="zh-CN"/>
        </w:rPr>
        <w:t xml:space="preserve">In NR, several mobility procedures were introduced across releases to address specific performance goals. The baseline L3 handover was designed as a network-controlled process where the UE reports filtered L3 measurements and executes mobility based on an RRC command. </w:t>
      </w:r>
    </w:p>
    <w:p w14:paraId="1981FE1E" w14:textId="77777777" w:rsidR="00915A78" w:rsidRDefault="00915A78" w:rsidP="00915A78">
      <w:pPr>
        <w:rPr>
          <w:lang w:eastAsia="zh-CN"/>
        </w:rPr>
      </w:pPr>
      <w:r>
        <w:rPr>
          <w:lang w:eastAsia="zh-CN"/>
        </w:rPr>
        <w:t xml:space="preserve">To improve robustness, CHO was introduced in Release-16, enabling the network to pre-configure the UE with multiple target cell configurations and their associated execution conditions. This allowed the UE to initiate the handover autonomously when conditions were met, mitigating issues such as late or missed HO commands. However, the pre-configuration and resource reservation for multiple candidates led to additional </w:t>
      </w:r>
      <w:proofErr w:type="spellStart"/>
      <w:r>
        <w:rPr>
          <w:lang w:eastAsia="zh-CN"/>
        </w:rPr>
        <w:t>signaling</w:t>
      </w:r>
      <w:proofErr w:type="spellEnd"/>
      <w:r>
        <w:rPr>
          <w:lang w:eastAsia="zh-CN"/>
        </w:rPr>
        <w:t xml:space="preserve"> overhead and network complexity.</w:t>
      </w:r>
    </w:p>
    <w:p w14:paraId="2AFE8D0E" w14:textId="77777777" w:rsidR="00915A78" w:rsidRDefault="00915A78" w:rsidP="00915A78">
      <w:pPr>
        <w:rPr>
          <w:lang w:eastAsia="zh-CN"/>
        </w:rPr>
      </w:pPr>
      <w:r>
        <w:rPr>
          <w:lang w:eastAsia="zh-CN"/>
        </w:rPr>
        <w:t xml:space="preserve">In Release-18, LTM was specified to minimize interruption time. It introduced a lower-layer triggering mechanism, where the UE could perform an early uplink and downlink synchronization toward candidate cells and switch based on MAC-layer </w:t>
      </w:r>
      <w:proofErr w:type="spellStart"/>
      <w:r>
        <w:rPr>
          <w:lang w:eastAsia="zh-CN"/>
        </w:rPr>
        <w:t>signaling</w:t>
      </w:r>
      <w:proofErr w:type="spellEnd"/>
      <w:r>
        <w:rPr>
          <w:lang w:eastAsia="zh-CN"/>
        </w:rPr>
        <w:t xml:space="preserve">, bypassing some RRC processing delays. LTM successfully reduced interruption and improved </w:t>
      </w:r>
      <w:proofErr w:type="gramStart"/>
      <w:r>
        <w:rPr>
          <w:lang w:eastAsia="zh-CN"/>
        </w:rPr>
        <w:t>responsiveness, but</w:t>
      </w:r>
      <w:proofErr w:type="gramEnd"/>
      <w:r>
        <w:rPr>
          <w:lang w:eastAsia="zh-CN"/>
        </w:rPr>
        <w:t xml:space="preserve"> also introduced its own measurement and </w:t>
      </w:r>
      <w:proofErr w:type="spellStart"/>
      <w:r>
        <w:rPr>
          <w:lang w:eastAsia="zh-CN"/>
        </w:rPr>
        <w:t>signaling</w:t>
      </w:r>
      <w:proofErr w:type="spellEnd"/>
      <w:r>
        <w:rPr>
          <w:lang w:eastAsia="zh-CN"/>
        </w:rPr>
        <w:t xml:space="preserve"> structures that duplicated existing NR functionality.</w:t>
      </w:r>
    </w:p>
    <w:p w14:paraId="027628DB" w14:textId="77777777" w:rsidR="00915A78" w:rsidRDefault="00915A78" w:rsidP="00915A78">
      <w:pPr>
        <w:rPr>
          <w:lang w:eastAsia="zh-CN"/>
        </w:rPr>
      </w:pPr>
      <w:r>
        <w:rPr>
          <w:lang w:eastAsia="zh-CN"/>
        </w:rPr>
        <w:t xml:space="preserve">Although these mechanisms share similar objectives, they operate through different control planes and </w:t>
      </w:r>
      <w:proofErr w:type="spellStart"/>
      <w:r>
        <w:rPr>
          <w:lang w:eastAsia="zh-CN"/>
        </w:rPr>
        <w:t>signaling</w:t>
      </w:r>
      <w:proofErr w:type="spellEnd"/>
      <w:r>
        <w:rPr>
          <w:lang w:eastAsia="zh-CN"/>
        </w:rPr>
        <w:t xml:space="preserve"> flows. The resulting coexistence of L3, CHO, and LTM procedures has created a fragmented mobility framework, each partially overlapping in functionality yet incompatible in configuration and reporting mechanisms.</w:t>
      </w:r>
    </w:p>
    <w:p w14:paraId="0A0A1A13" w14:textId="77777777" w:rsidR="00915A78" w:rsidRDefault="00915A78" w:rsidP="00915A78">
      <w:pPr>
        <w:rPr>
          <w:lang w:eastAsia="zh-CN"/>
        </w:rPr>
      </w:pPr>
      <w:r>
        <w:rPr>
          <w:lang w:eastAsia="zh-CN"/>
        </w:rPr>
        <w:lastRenderedPageBreak/>
        <w:t xml:space="preserve">For 6G, it is therefore desirable to move away from defining multiple independent handover procedures. Instead, a single unified and configurable mobility framework should be established, capable of adapting its </w:t>
      </w:r>
      <w:proofErr w:type="spellStart"/>
      <w:r>
        <w:rPr>
          <w:lang w:eastAsia="zh-CN"/>
        </w:rPr>
        <w:t>behavior</w:t>
      </w:r>
      <w:proofErr w:type="spellEnd"/>
      <w:r>
        <w:rPr>
          <w:lang w:eastAsia="zh-CN"/>
        </w:rPr>
        <w:t xml:space="preserve"> according to UE capability, network configuration, and deployment scenario. Within this framework, parameters such as measurement type (L1 or L3), triggering mechanism (network- or UE-triggered), </w:t>
      </w:r>
      <w:proofErr w:type="spellStart"/>
      <w:r>
        <w:rPr>
          <w:lang w:eastAsia="zh-CN"/>
        </w:rPr>
        <w:t>signaling</w:t>
      </w:r>
      <w:proofErr w:type="spellEnd"/>
      <w:r>
        <w:rPr>
          <w:lang w:eastAsia="zh-CN"/>
        </w:rPr>
        <w:t xml:space="preserve"> layer (RRC or MAC), or mobility execution mode (RACH-based or RACH-less) can be flexibly selected.</w:t>
      </w:r>
    </w:p>
    <w:p w14:paraId="40970D71" w14:textId="79AAA60D" w:rsidR="00915A78" w:rsidRPr="00915A78" w:rsidRDefault="00915A78" w:rsidP="00915A78">
      <w:pPr>
        <w:pStyle w:val="ListParagraph"/>
        <w:numPr>
          <w:ilvl w:val="0"/>
          <w:numId w:val="15"/>
        </w:numPr>
        <w:spacing w:after="180"/>
        <w:ind w:left="0" w:firstLine="0"/>
        <w:contextualSpacing w:val="0"/>
        <w:rPr>
          <w:b/>
          <w:bCs/>
          <w:i/>
          <w:iCs/>
          <w:sz w:val="20"/>
          <w:szCs w:val="20"/>
        </w:rPr>
      </w:pPr>
      <w:r w:rsidRPr="00915A78">
        <w:rPr>
          <w:b/>
          <w:bCs/>
          <w:i/>
          <w:iCs/>
          <w:sz w:val="20"/>
          <w:szCs w:val="20"/>
        </w:rPr>
        <w:t>Existing NR mobility mechanisms address similar objectives through separate procedures, leading to signaling redundancy and inconsistent behavior across deployments. A single, adaptable framework is required in 6G to unify mobility operations and reduce implementation complexity.</w:t>
      </w:r>
    </w:p>
    <w:p w14:paraId="5D9BAD96" w14:textId="7302CECC" w:rsidR="00915A78" w:rsidRPr="00915A78" w:rsidRDefault="00915A78" w:rsidP="00915A78">
      <w:pPr>
        <w:pStyle w:val="ListParagraph"/>
        <w:numPr>
          <w:ilvl w:val="0"/>
          <w:numId w:val="10"/>
        </w:numPr>
        <w:spacing w:after="180"/>
        <w:ind w:left="0" w:firstLine="0"/>
        <w:contextualSpacing w:val="0"/>
        <w:rPr>
          <w:b/>
          <w:bCs/>
          <w:i/>
          <w:iCs/>
          <w:sz w:val="20"/>
          <w:szCs w:val="20"/>
        </w:rPr>
      </w:pPr>
      <w:r w:rsidRPr="00915A78">
        <w:rPr>
          <w:b/>
          <w:bCs/>
          <w:i/>
          <w:iCs/>
          <w:sz w:val="20"/>
          <w:szCs w:val="20"/>
        </w:rPr>
        <w:t>6G should define a unified handover framework capable of dynamically adapting to deployment and UE conditions, achieving low complexity, high robustness, and near-zero interruption.</w:t>
      </w:r>
    </w:p>
    <w:p w14:paraId="1A84DC21" w14:textId="6C7930A9" w:rsidR="00915A78" w:rsidRPr="00915A78" w:rsidRDefault="00915A78" w:rsidP="00915A78">
      <w:pPr>
        <w:pStyle w:val="Heading3"/>
        <w:rPr>
          <w:lang w:eastAsia="zh-CN"/>
        </w:rPr>
      </w:pPr>
      <w:bookmarkStart w:id="8" w:name="_Toc213400921"/>
      <w:r w:rsidRPr="00915A78">
        <w:rPr>
          <w:lang w:eastAsia="zh-CN"/>
        </w:rPr>
        <w:t>Unified Mobility Framework across 6GR Device Types</w:t>
      </w:r>
      <w:bookmarkEnd w:id="8"/>
    </w:p>
    <w:p w14:paraId="0CB1BEEA" w14:textId="5EFEDCDF" w:rsidR="00915A78" w:rsidRDefault="00915A78" w:rsidP="00915A78">
      <w:pPr>
        <w:rPr>
          <w:lang w:eastAsia="zh-CN"/>
        </w:rPr>
      </w:pPr>
      <w:r>
        <w:rPr>
          <w:lang w:eastAsia="zh-CN"/>
        </w:rPr>
        <w:t>During recent RAN1 discussions on 6GR physical layer design, two main device categories were identified to reflect the wide diversity of UE capabilities and service requirements envisioned for 6G.</w:t>
      </w:r>
    </w:p>
    <w:p w14:paraId="19F5D593" w14:textId="77777777" w:rsidR="00915A78" w:rsidRDefault="00915A78" w:rsidP="00915A78">
      <w:pPr>
        <w:rPr>
          <w:lang w:eastAsia="zh-CN"/>
        </w:rPr>
      </w:pPr>
      <w:r>
        <w:rPr>
          <w:lang w:eastAsia="zh-CN"/>
        </w:rPr>
        <w:t xml:space="preserve">The first category, referred to as Low-tier Device Type, targets LPWA, </w:t>
      </w:r>
      <w:proofErr w:type="spellStart"/>
      <w:r>
        <w:rPr>
          <w:lang w:eastAsia="zh-CN"/>
        </w:rPr>
        <w:t>RedCap</w:t>
      </w:r>
      <w:proofErr w:type="spellEnd"/>
      <w:r>
        <w:rPr>
          <w:lang w:eastAsia="zh-CN"/>
        </w:rPr>
        <w:t xml:space="preserve">, or IoT-like use cases where energy efficiency and low cost are primary design goals. Such devices are expected to operate with very limited bandwidth (typically 3–5 MHz, up to 10 MHz), single antenna chains, and simplified control </w:t>
      </w:r>
      <w:proofErr w:type="spellStart"/>
      <w:r>
        <w:rPr>
          <w:lang w:eastAsia="zh-CN"/>
        </w:rPr>
        <w:t>signaling</w:t>
      </w:r>
      <w:proofErr w:type="spellEnd"/>
      <w:r>
        <w:rPr>
          <w:lang w:eastAsia="zh-CN"/>
        </w:rPr>
        <w:t xml:space="preserve">. They are optimized for low mobility or stationary scenarios such as sensors, wearables, or utility metering. Consequently, their mobility </w:t>
      </w:r>
      <w:proofErr w:type="spellStart"/>
      <w:r>
        <w:rPr>
          <w:lang w:eastAsia="zh-CN"/>
        </w:rPr>
        <w:t>behavior</w:t>
      </w:r>
      <w:proofErr w:type="spellEnd"/>
      <w:r>
        <w:rPr>
          <w:lang w:eastAsia="zh-CN"/>
        </w:rPr>
        <w:t xml:space="preserve"> relies on low-frequency measurement reporting, simplified RRC-based control, and power-efficient mechanisms.</w:t>
      </w:r>
    </w:p>
    <w:p w14:paraId="070F3595" w14:textId="77777777" w:rsidR="00915A78" w:rsidRDefault="00915A78" w:rsidP="00915A78">
      <w:pPr>
        <w:rPr>
          <w:lang w:eastAsia="zh-CN"/>
        </w:rPr>
      </w:pPr>
      <w:r>
        <w:rPr>
          <w:lang w:eastAsia="zh-CN"/>
        </w:rPr>
        <w:t>The second category, referred to as High-tier Device Type, represents high-end UEs designed for enhanced broadband and latency-critical services, including XR, FWA, vehicular communication, and collaborative robotics. These devices can operate over very wide bandwidths (up to 400–800 MHz in FR3), employ large antenna arrays, and support advanced features such as carrier aggregation, dynamic CORESET adaptation, and TN/NTN dual connectivity. They require highly responsive mobility control with low interruption and tight synchronization, often relying on fast beam-level tracking, conditional or lower-layer triggered mobility, and AI-assisted decision mechanisms.</w:t>
      </w:r>
    </w:p>
    <w:p w14:paraId="6D874C0D" w14:textId="77777777" w:rsidR="00915A78" w:rsidRDefault="00915A78" w:rsidP="00915A78">
      <w:pPr>
        <w:rPr>
          <w:lang w:eastAsia="zh-CN"/>
        </w:rPr>
      </w:pPr>
      <w:r>
        <w:rPr>
          <w:lang w:eastAsia="zh-CN"/>
        </w:rPr>
        <w:t>The unified mobility framework in 6G should also inherently support these diverse device capabilities through configuration flexibility. Within the same baseline structure, the framework can adapt its operation according to device characteristics and service requirements. For instance, low-tier devices may rely on simplified RRC-based execution, whereas high-tier devices can utilize faster, lower-layer triggered mobility with pre-synchronization or RACH-less operation.</w:t>
      </w:r>
    </w:p>
    <w:p w14:paraId="7A7D6E07" w14:textId="77777777" w:rsidR="00915A78" w:rsidRDefault="00915A78" w:rsidP="00915A78">
      <w:pPr>
        <w:rPr>
          <w:lang w:eastAsia="zh-CN"/>
        </w:rPr>
      </w:pPr>
      <w:r>
        <w:rPr>
          <w:lang w:eastAsia="zh-CN"/>
        </w:rPr>
        <w:t xml:space="preserve">By enabling such capability-driven adaptability, the unified framework ensures consistent mobility handling, minimizes </w:t>
      </w:r>
      <w:proofErr w:type="spellStart"/>
      <w:r>
        <w:rPr>
          <w:lang w:eastAsia="zh-CN"/>
        </w:rPr>
        <w:t>signaling</w:t>
      </w:r>
      <w:proofErr w:type="spellEnd"/>
      <w:r>
        <w:rPr>
          <w:lang w:eastAsia="zh-CN"/>
        </w:rPr>
        <w:t xml:space="preserve"> overhead, and maintains efficient performance across heterogeneous 6G device types.</w:t>
      </w:r>
    </w:p>
    <w:p w14:paraId="38F3048B" w14:textId="11643B2A" w:rsidR="00915A78" w:rsidRPr="00915A78" w:rsidRDefault="00915A78" w:rsidP="00915A78">
      <w:pPr>
        <w:pStyle w:val="ListParagraph"/>
        <w:numPr>
          <w:ilvl w:val="0"/>
          <w:numId w:val="15"/>
        </w:numPr>
        <w:spacing w:after="180"/>
        <w:ind w:left="0" w:firstLine="0"/>
        <w:contextualSpacing w:val="0"/>
        <w:rPr>
          <w:b/>
          <w:bCs/>
          <w:i/>
          <w:iCs/>
          <w:sz w:val="20"/>
          <w:szCs w:val="20"/>
        </w:rPr>
      </w:pPr>
      <w:r w:rsidRPr="00915A78">
        <w:rPr>
          <w:b/>
          <w:bCs/>
          <w:i/>
          <w:iCs/>
          <w:sz w:val="20"/>
          <w:szCs w:val="20"/>
        </w:rPr>
        <w:t>Low-tier and High-tier device types exhibit significantly different capabilities and mobility requirements. A unified mobility framework that can flexibly adapt its operation according to device characteristics and service context can efficiently address this diversity without introducing separate handover procedures.</w:t>
      </w:r>
    </w:p>
    <w:p w14:paraId="6B75B7F1" w14:textId="4FB620ED" w:rsidR="00915A78" w:rsidRPr="00915A78" w:rsidRDefault="00915A78" w:rsidP="00915A78">
      <w:pPr>
        <w:pStyle w:val="ListParagraph"/>
        <w:numPr>
          <w:ilvl w:val="0"/>
          <w:numId w:val="10"/>
        </w:numPr>
        <w:spacing w:after="180"/>
        <w:ind w:left="0" w:firstLine="0"/>
        <w:contextualSpacing w:val="0"/>
        <w:rPr>
          <w:b/>
          <w:bCs/>
          <w:i/>
          <w:iCs/>
          <w:sz w:val="20"/>
          <w:szCs w:val="20"/>
        </w:rPr>
      </w:pPr>
      <w:r w:rsidRPr="00915A78">
        <w:rPr>
          <w:b/>
          <w:bCs/>
          <w:i/>
          <w:iCs/>
          <w:sz w:val="20"/>
          <w:szCs w:val="20"/>
        </w:rPr>
        <w:t>The unified mobility framework for 6G should be designed to operate across both Low-tier and High-tier Device Types.</w:t>
      </w:r>
    </w:p>
    <w:p w14:paraId="678D7838" w14:textId="7F9BC03B" w:rsidR="008C0DD4" w:rsidRDefault="00915A78" w:rsidP="00915A78">
      <w:pPr>
        <w:pStyle w:val="Heading3"/>
        <w:rPr>
          <w:lang w:eastAsia="zh-CN"/>
        </w:rPr>
      </w:pPr>
      <w:bookmarkStart w:id="9" w:name="_Toc213400922"/>
      <w:r w:rsidRPr="00915A78">
        <w:rPr>
          <w:lang w:eastAsia="zh-CN"/>
        </w:rPr>
        <w:t>RACH-less vs RACH-based Mobility</w:t>
      </w:r>
      <w:bookmarkEnd w:id="9"/>
    </w:p>
    <w:p w14:paraId="63CE7FD9" w14:textId="2EDFA9FD" w:rsidR="00915A78" w:rsidRDefault="00915A78" w:rsidP="00915A78">
      <w:pPr>
        <w:rPr>
          <w:lang w:eastAsia="zh-CN"/>
        </w:rPr>
      </w:pPr>
      <w:r>
        <w:rPr>
          <w:lang w:eastAsia="zh-CN"/>
        </w:rPr>
        <w:t xml:space="preserve">In NR, different mechanisms were introduced to reduce handover interruption time. DAPS handover in Release 16 aimed to achieve 0 </w:t>
      </w:r>
      <w:proofErr w:type="spellStart"/>
      <w:r>
        <w:rPr>
          <w:lang w:eastAsia="zh-CN"/>
        </w:rPr>
        <w:t>ms</w:t>
      </w:r>
      <w:proofErr w:type="spellEnd"/>
      <w:r>
        <w:rPr>
          <w:lang w:eastAsia="zh-CN"/>
        </w:rPr>
        <w:t xml:space="preserve"> interruption by maintaining dual connectivity during transition, but its complexity and limited compatibility prevented wide adoption. Later, LTM introduced early uplink and downlink synchronization toward candidate cells, allowing a RACH-less cell switch and significantly reducing interruption time. However, the RACH-less concept in NR remained limited to intra-</w:t>
      </w:r>
      <w:proofErr w:type="spellStart"/>
      <w:r>
        <w:rPr>
          <w:lang w:eastAsia="zh-CN"/>
        </w:rPr>
        <w:t>gNB</w:t>
      </w:r>
      <w:proofErr w:type="spellEnd"/>
      <w:r>
        <w:rPr>
          <w:lang w:eastAsia="zh-CN"/>
        </w:rPr>
        <w:t xml:space="preserve"> mobility and a few specific cases.</w:t>
      </w:r>
    </w:p>
    <w:p w14:paraId="040B986A" w14:textId="77777777" w:rsidR="00915A78" w:rsidRDefault="00915A78" w:rsidP="00915A78">
      <w:pPr>
        <w:rPr>
          <w:lang w:eastAsia="zh-CN"/>
        </w:rPr>
      </w:pPr>
      <w:r>
        <w:rPr>
          <w:lang w:eastAsia="zh-CN"/>
        </w:rPr>
        <w:t xml:space="preserve">For 6G, minimizing mobility interruption remains a key target, aligned with IMT-2030 requirements. Within the unified mobility framework, RACH-less operation should be supported from the beginning, enabling seamless mobility by using early synchronization or timing acquisition mechanisms between the source and target cells. This approach would allow the UE to perform a cell switch without a full </w:t>
      </w:r>
      <w:proofErr w:type="gramStart"/>
      <w:r>
        <w:rPr>
          <w:lang w:eastAsia="zh-CN"/>
        </w:rPr>
        <w:t>random access</w:t>
      </w:r>
      <w:proofErr w:type="gramEnd"/>
      <w:r>
        <w:rPr>
          <w:lang w:eastAsia="zh-CN"/>
        </w:rPr>
        <w:t xml:space="preserve"> procedure, reducing both latency and </w:t>
      </w:r>
      <w:proofErr w:type="spellStart"/>
      <w:r>
        <w:rPr>
          <w:lang w:eastAsia="zh-CN"/>
        </w:rPr>
        <w:t>signaling</w:t>
      </w:r>
      <w:proofErr w:type="spellEnd"/>
      <w:r>
        <w:rPr>
          <w:lang w:eastAsia="zh-CN"/>
        </w:rPr>
        <w:t xml:space="preserve"> overhead.</w:t>
      </w:r>
    </w:p>
    <w:p w14:paraId="4BE2DDF1" w14:textId="77777777" w:rsidR="00915A78" w:rsidRDefault="00915A78" w:rsidP="00915A78">
      <w:pPr>
        <w:rPr>
          <w:lang w:eastAsia="zh-CN"/>
        </w:rPr>
      </w:pPr>
      <w:r>
        <w:rPr>
          <w:lang w:eastAsia="zh-CN"/>
        </w:rPr>
        <w:lastRenderedPageBreak/>
        <w:t>While RACH-less mobility should be the preferred option whenever feasible, RACH-based operation will still be necessary in scenarios where synchronization cannot be maintained or pre-established. The unified framework should therefore allow both methods to coexist, selecting the most efficient approach depending on network topology, timing relation, and deployment scenario.</w:t>
      </w:r>
    </w:p>
    <w:p w14:paraId="596952AC" w14:textId="77777777" w:rsidR="00915A78" w:rsidRDefault="00915A78" w:rsidP="00915A78">
      <w:pPr>
        <w:rPr>
          <w:lang w:eastAsia="zh-CN"/>
        </w:rPr>
      </w:pPr>
      <w:r>
        <w:rPr>
          <w:lang w:eastAsia="zh-CN"/>
        </w:rPr>
        <w:t>Such capability would not only help achieve near-zero interruption but also provide a flexible foundation for further enhancements in early synchronization and acquisition techniques.</w:t>
      </w:r>
    </w:p>
    <w:p w14:paraId="38956E72" w14:textId="2D033292" w:rsidR="00915A78" w:rsidRPr="00915A78" w:rsidRDefault="00915A78" w:rsidP="00915A78">
      <w:pPr>
        <w:pStyle w:val="ListParagraph"/>
        <w:numPr>
          <w:ilvl w:val="0"/>
          <w:numId w:val="15"/>
        </w:numPr>
        <w:spacing w:after="180"/>
        <w:ind w:left="0" w:firstLine="0"/>
        <w:contextualSpacing w:val="0"/>
        <w:rPr>
          <w:b/>
          <w:bCs/>
          <w:i/>
          <w:iCs/>
          <w:sz w:val="20"/>
          <w:szCs w:val="20"/>
        </w:rPr>
      </w:pPr>
      <w:r w:rsidRPr="00915A78">
        <w:rPr>
          <w:b/>
          <w:bCs/>
          <w:i/>
          <w:iCs/>
          <w:sz w:val="20"/>
          <w:szCs w:val="20"/>
        </w:rPr>
        <w:t>RACH-less mobility in NR was limited to intra-gNB cases and specific scenarios, while LTM demonstrated that early synchronization can significantly reduce interruption time.</w:t>
      </w:r>
    </w:p>
    <w:p w14:paraId="57BADCB6" w14:textId="0AD08945" w:rsidR="00915A78" w:rsidRPr="00915A78" w:rsidRDefault="00915A78" w:rsidP="00915A78">
      <w:pPr>
        <w:pStyle w:val="ListParagraph"/>
        <w:numPr>
          <w:ilvl w:val="0"/>
          <w:numId w:val="15"/>
        </w:numPr>
        <w:spacing w:after="180"/>
        <w:ind w:left="0" w:firstLine="0"/>
        <w:contextualSpacing w:val="0"/>
        <w:rPr>
          <w:b/>
          <w:bCs/>
          <w:i/>
          <w:iCs/>
          <w:sz w:val="20"/>
          <w:szCs w:val="20"/>
        </w:rPr>
      </w:pPr>
      <w:r w:rsidRPr="00915A78">
        <w:rPr>
          <w:b/>
          <w:bCs/>
          <w:i/>
          <w:iCs/>
          <w:sz w:val="20"/>
          <w:szCs w:val="20"/>
        </w:rPr>
        <w:t>Supporting RACH-less operation from day one in 6G would reduce latency and signaling load, while still allowing RACH-based operation when synchronization is not possible.</w:t>
      </w:r>
    </w:p>
    <w:p w14:paraId="56556E13" w14:textId="3624BD8A" w:rsidR="00915A78" w:rsidRPr="00915A78" w:rsidRDefault="00915A78" w:rsidP="00915A78">
      <w:pPr>
        <w:pStyle w:val="ListParagraph"/>
        <w:numPr>
          <w:ilvl w:val="0"/>
          <w:numId w:val="10"/>
        </w:numPr>
        <w:spacing w:after="180"/>
        <w:ind w:left="0" w:firstLine="0"/>
        <w:contextualSpacing w:val="0"/>
        <w:rPr>
          <w:b/>
          <w:bCs/>
          <w:i/>
          <w:iCs/>
          <w:sz w:val="20"/>
          <w:szCs w:val="20"/>
        </w:rPr>
      </w:pPr>
      <w:r w:rsidRPr="00915A78">
        <w:rPr>
          <w:b/>
          <w:bCs/>
          <w:i/>
          <w:iCs/>
          <w:sz w:val="20"/>
          <w:szCs w:val="20"/>
        </w:rPr>
        <w:t>6G should support both RACH-less and RACH-based mobility within the unified mobility framework, with RACH-less mobility enabled through early synchronization mechanisms to minimize interruption and ensure seamless connectivity.</w:t>
      </w:r>
    </w:p>
    <w:p w14:paraId="0A925AEF" w14:textId="544133CC" w:rsidR="008C0DD4" w:rsidRPr="00915A78" w:rsidRDefault="00915A78" w:rsidP="00915A78">
      <w:pPr>
        <w:pStyle w:val="Heading2"/>
        <w:rPr>
          <w:lang w:val="en-US"/>
        </w:rPr>
      </w:pPr>
      <w:bookmarkStart w:id="10" w:name="_Toc213400923"/>
      <w:r w:rsidRPr="00915A78">
        <w:rPr>
          <w:lang w:val="en-US"/>
        </w:rPr>
        <w:t>AI/ML for 6GR Mobility</w:t>
      </w:r>
      <w:bookmarkEnd w:id="10"/>
    </w:p>
    <w:p w14:paraId="5D61E1EF" w14:textId="36F64EDA" w:rsidR="00915A78" w:rsidRDefault="00915A78" w:rsidP="00915A78">
      <w:pPr>
        <w:rPr>
          <w:lang w:eastAsia="zh-CN"/>
        </w:rPr>
      </w:pPr>
      <w:r>
        <w:rPr>
          <w:lang w:eastAsia="zh-CN"/>
        </w:rPr>
        <w:t>In Release-19, RAN2 studied several AI/ML-based enhancements for NR mobility and RRM, such as measurement event prediction, RRM parameter prediction, and RLF prediction. Some of these aspects are now being specified in Release-20. For 6G, AI/ML should not be treated as an external feature but as an integral part of the unified mobility and measurement framework.</w:t>
      </w:r>
    </w:p>
    <w:p w14:paraId="0F256352" w14:textId="77777777" w:rsidR="00915A78" w:rsidRDefault="00915A78" w:rsidP="00915A78">
      <w:pPr>
        <w:rPr>
          <w:lang w:eastAsia="zh-CN"/>
        </w:rPr>
      </w:pPr>
      <w:r>
        <w:rPr>
          <w:lang w:eastAsia="zh-CN"/>
        </w:rPr>
        <w:t xml:space="preserve">AI/ML-based prediction can enhance mobility robustness by learning from historical and real-time data to anticipate handover events, optimize measurement reporting, and predict link degradation. AI/ML-based grouping and prediction of beam- and cell-level RRM measurements can improve efficiency while maintaining accuracy. These prediction capabilities also support the realization of a unified measurement structure across L1 and L3 layers, reducing </w:t>
      </w:r>
      <w:proofErr w:type="spellStart"/>
      <w:r>
        <w:rPr>
          <w:lang w:eastAsia="zh-CN"/>
        </w:rPr>
        <w:t>signaling</w:t>
      </w:r>
      <w:proofErr w:type="spellEnd"/>
      <w:r>
        <w:rPr>
          <w:lang w:eastAsia="zh-CN"/>
        </w:rPr>
        <w:t xml:space="preserve"> overhead and enabling more consistent mobility management.</w:t>
      </w:r>
    </w:p>
    <w:p w14:paraId="285FFDEF" w14:textId="77777777" w:rsidR="00915A78" w:rsidRDefault="00915A78" w:rsidP="00915A78">
      <w:pPr>
        <w:rPr>
          <w:lang w:eastAsia="zh-CN"/>
        </w:rPr>
      </w:pPr>
      <w:r>
        <w:rPr>
          <w:lang w:eastAsia="zh-CN"/>
        </w:rPr>
        <w:t>In addition, AI/ML can contribute to energy efficiency through adaptive measurement collection and intelligent reporting, as well as improve observability by continuously monitoring mobility-related KPIs. Such prediction and monitoring functions should be designed together with the baseline mobility and RRM framework to ensure alignment, scalability, and unified operation across different measurement domains.</w:t>
      </w:r>
    </w:p>
    <w:p w14:paraId="059D75B2" w14:textId="4564CCEB" w:rsidR="00915A78" w:rsidRPr="00915A78" w:rsidRDefault="00915A78" w:rsidP="00915A78">
      <w:pPr>
        <w:pStyle w:val="ListParagraph"/>
        <w:numPr>
          <w:ilvl w:val="0"/>
          <w:numId w:val="15"/>
        </w:numPr>
        <w:spacing w:after="180"/>
        <w:ind w:left="0" w:firstLine="0"/>
        <w:contextualSpacing w:val="0"/>
        <w:rPr>
          <w:b/>
          <w:bCs/>
          <w:i/>
          <w:iCs/>
          <w:sz w:val="20"/>
          <w:szCs w:val="20"/>
        </w:rPr>
      </w:pPr>
      <w:r w:rsidRPr="00915A78">
        <w:rPr>
          <w:b/>
          <w:bCs/>
          <w:i/>
          <w:iCs/>
          <w:sz w:val="20"/>
          <w:szCs w:val="20"/>
        </w:rPr>
        <w:t>Integration of AI/ML-based prediction and observability functions within the unified mobility and measurement framework is expected to improve measurement efficiency, cross-layer alignment, and mobility optimization.</w:t>
      </w:r>
    </w:p>
    <w:p w14:paraId="31E01964" w14:textId="2B737720" w:rsidR="00897CB3" w:rsidRPr="00915A78" w:rsidRDefault="00915A78" w:rsidP="00915A78">
      <w:pPr>
        <w:pStyle w:val="ListParagraph"/>
        <w:numPr>
          <w:ilvl w:val="0"/>
          <w:numId w:val="10"/>
        </w:numPr>
        <w:spacing w:after="180"/>
        <w:ind w:left="0" w:firstLine="0"/>
        <w:contextualSpacing w:val="0"/>
        <w:rPr>
          <w:b/>
          <w:bCs/>
          <w:i/>
          <w:iCs/>
          <w:sz w:val="20"/>
          <w:szCs w:val="20"/>
        </w:rPr>
      </w:pPr>
      <w:r w:rsidRPr="00915A78">
        <w:rPr>
          <w:b/>
          <w:bCs/>
          <w:i/>
          <w:iCs/>
          <w:sz w:val="20"/>
          <w:szCs w:val="20"/>
        </w:rPr>
        <w:t>RAN2 to ensure that the 6G unified mobility and measurement framework incorporates AI/ML-based prediction and observation mechanisms, achieving cross-layer consistency and efficient mobility management.</w:t>
      </w:r>
    </w:p>
    <w:p w14:paraId="17D7BDE6" w14:textId="5EEC85E5" w:rsidR="002F6CCE" w:rsidRPr="00B7321B" w:rsidRDefault="00085A2D" w:rsidP="572F0BC0">
      <w:pPr>
        <w:pStyle w:val="Heading1"/>
        <w:rPr>
          <w:szCs w:val="36"/>
          <w:lang w:val="en-US"/>
        </w:rPr>
      </w:pPr>
      <w:bookmarkStart w:id="11" w:name="_Toc213400924"/>
      <w:r w:rsidRPr="572F0BC0">
        <w:rPr>
          <w:lang w:val="en-US"/>
        </w:rPr>
        <w:t>Conclusion</w:t>
      </w:r>
      <w:bookmarkEnd w:id="11"/>
    </w:p>
    <w:p w14:paraId="7F0FFEE6" w14:textId="2C6A8D0D" w:rsidR="007B1842" w:rsidRDefault="00AA179B" w:rsidP="00915A78">
      <w:pPr>
        <w:rPr>
          <w:lang w:val="en-US"/>
        </w:rPr>
      </w:pPr>
      <w:r w:rsidRPr="00AA179B">
        <w:rPr>
          <w:lang w:val="en-US"/>
        </w:rPr>
        <w:t>In conclusion, the following proposals are prov</w:t>
      </w:r>
      <w:r w:rsidR="00915A78">
        <w:rPr>
          <w:lang w:val="en-US"/>
        </w:rPr>
        <w:t>ided:</w:t>
      </w:r>
    </w:p>
    <w:p w14:paraId="4122A514" w14:textId="77777777" w:rsidR="00915A78" w:rsidRPr="00915A78" w:rsidRDefault="00915A78" w:rsidP="00915A78">
      <w:pPr>
        <w:pStyle w:val="ListParagraph"/>
        <w:numPr>
          <w:ilvl w:val="0"/>
          <w:numId w:val="28"/>
        </w:numPr>
        <w:spacing w:after="180"/>
        <w:ind w:left="0" w:firstLine="0"/>
        <w:contextualSpacing w:val="0"/>
        <w:rPr>
          <w:b/>
          <w:bCs/>
          <w:i/>
          <w:iCs/>
          <w:sz w:val="20"/>
          <w:szCs w:val="20"/>
        </w:rPr>
      </w:pPr>
      <w:r w:rsidRPr="00915A78">
        <w:rPr>
          <w:b/>
          <w:bCs/>
          <w:i/>
          <w:iCs/>
          <w:sz w:val="20"/>
          <w:szCs w:val="20"/>
        </w:rPr>
        <w:t>6G should define a unified handover framework capable of dynamically adapting to deployment and UE conditions, achieving low complexity, high robustness, and near-zero interruption.</w:t>
      </w:r>
    </w:p>
    <w:p w14:paraId="51DF0D86" w14:textId="77777777" w:rsidR="00915A78" w:rsidRPr="00915A78" w:rsidRDefault="00915A78" w:rsidP="00915A78">
      <w:pPr>
        <w:pStyle w:val="ListParagraph"/>
        <w:numPr>
          <w:ilvl w:val="0"/>
          <w:numId w:val="28"/>
        </w:numPr>
        <w:spacing w:after="180"/>
        <w:ind w:left="0" w:firstLine="0"/>
        <w:contextualSpacing w:val="0"/>
        <w:rPr>
          <w:b/>
          <w:bCs/>
          <w:i/>
          <w:iCs/>
          <w:sz w:val="20"/>
          <w:szCs w:val="20"/>
        </w:rPr>
      </w:pPr>
      <w:r w:rsidRPr="00915A78">
        <w:rPr>
          <w:b/>
          <w:bCs/>
          <w:i/>
          <w:iCs/>
          <w:sz w:val="20"/>
          <w:szCs w:val="20"/>
        </w:rPr>
        <w:t>The unified mobility framework for 6G should be designed to operate across both Low-tier and High-tier Device Types.</w:t>
      </w:r>
    </w:p>
    <w:p w14:paraId="6CE33676" w14:textId="77777777" w:rsidR="00915A78" w:rsidRPr="00915A78" w:rsidRDefault="00915A78" w:rsidP="00915A78">
      <w:pPr>
        <w:pStyle w:val="ListParagraph"/>
        <w:numPr>
          <w:ilvl w:val="0"/>
          <w:numId w:val="28"/>
        </w:numPr>
        <w:spacing w:after="180"/>
        <w:ind w:left="0" w:firstLine="0"/>
        <w:contextualSpacing w:val="0"/>
        <w:rPr>
          <w:b/>
          <w:bCs/>
          <w:i/>
          <w:iCs/>
          <w:sz w:val="20"/>
          <w:szCs w:val="20"/>
        </w:rPr>
      </w:pPr>
      <w:r w:rsidRPr="00915A78">
        <w:rPr>
          <w:b/>
          <w:bCs/>
          <w:i/>
          <w:iCs/>
          <w:sz w:val="20"/>
          <w:szCs w:val="20"/>
        </w:rPr>
        <w:t>6G should support both RACH-less and RACH-based mobility within the unified mobility framework, with RACH-less mobility enabled through early synchronization mechanisms to minimize interruption and ensure seamless connectivity.</w:t>
      </w:r>
    </w:p>
    <w:p w14:paraId="7D7AAB17" w14:textId="59AF4895" w:rsidR="00594845" w:rsidRPr="004A5E4C" w:rsidRDefault="00915A78" w:rsidP="00881DFB">
      <w:pPr>
        <w:pStyle w:val="ListParagraph"/>
        <w:numPr>
          <w:ilvl w:val="0"/>
          <w:numId w:val="28"/>
        </w:numPr>
        <w:spacing w:after="180"/>
        <w:ind w:left="0" w:firstLine="0"/>
        <w:contextualSpacing w:val="0"/>
        <w:rPr>
          <w:b/>
          <w:bCs/>
          <w:i/>
          <w:iCs/>
          <w:sz w:val="20"/>
          <w:szCs w:val="20"/>
        </w:rPr>
      </w:pPr>
      <w:r w:rsidRPr="00915A78">
        <w:rPr>
          <w:b/>
          <w:bCs/>
          <w:i/>
          <w:iCs/>
          <w:sz w:val="20"/>
          <w:szCs w:val="20"/>
        </w:rPr>
        <w:t>RAN2 to ensure that the 6G unified mobility and measurement framework incorporates AI/ML-based prediction and observation mechanisms, achieving cross-layer consistency and efficient mobility management.</w:t>
      </w:r>
    </w:p>
    <w:sectPr w:rsidR="00594845" w:rsidRPr="004A5E4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1D74" w14:textId="77777777" w:rsidR="006769FC" w:rsidRDefault="006769FC" w:rsidP="00881DFB">
      <w:r>
        <w:separator/>
      </w:r>
    </w:p>
  </w:endnote>
  <w:endnote w:type="continuationSeparator" w:id="0">
    <w:p w14:paraId="38F40745" w14:textId="77777777" w:rsidR="006769FC" w:rsidRDefault="006769FC" w:rsidP="00881DFB">
      <w:r>
        <w:continuationSeparator/>
      </w:r>
    </w:p>
  </w:endnote>
  <w:endnote w:type="continuationNotice" w:id="1">
    <w:p w14:paraId="7C6F713C" w14:textId="77777777" w:rsidR="006769FC" w:rsidRDefault="006769FC"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822E" w14:textId="77777777" w:rsidR="006769FC" w:rsidRDefault="006769FC" w:rsidP="00881DFB">
      <w:r>
        <w:separator/>
      </w:r>
    </w:p>
  </w:footnote>
  <w:footnote w:type="continuationSeparator" w:id="0">
    <w:p w14:paraId="72F9D92D" w14:textId="77777777" w:rsidR="006769FC" w:rsidRDefault="006769FC" w:rsidP="00881DFB">
      <w:r>
        <w:continuationSeparator/>
      </w:r>
    </w:p>
  </w:footnote>
  <w:footnote w:type="continuationNotice" w:id="1">
    <w:p w14:paraId="7DB22A48" w14:textId="77777777" w:rsidR="006769FC" w:rsidRDefault="006769FC"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C10795"/>
    <w:multiLevelType w:val="hybridMultilevel"/>
    <w:tmpl w:val="1242AA5C"/>
    <w:lvl w:ilvl="0" w:tplc="A3162E38">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6256E"/>
    <w:multiLevelType w:val="hybridMultilevel"/>
    <w:tmpl w:val="14B6D45E"/>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C54E4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7"/>
  </w:num>
  <w:num w:numId="2" w16cid:durableId="357124585">
    <w:abstractNumId w:val="10"/>
  </w:num>
  <w:num w:numId="3" w16cid:durableId="1559780918">
    <w:abstractNumId w:val="2"/>
  </w:num>
  <w:num w:numId="4" w16cid:durableId="1547567976">
    <w:abstractNumId w:val="9"/>
  </w:num>
  <w:num w:numId="5" w16cid:durableId="603458677">
    <w:abstractNumId w:val="5"/>
  </w:num>
  <w:num w:numId="6" w16cid:durableId="1591767748">
    <w:abstractNumId w:val="3"/>
  </w:num>
  <w:num w:numId="7" w16cid:durableId="1037001701">
    <w:abstractNumId w:val="6"/>
  </w:num>
  <w:num w:numId="8" w16cid:durableId="689600195">
    <w:abstractNumId w:val="18"/>
  </w:num>
  <w:num w:numId="9" w16cid:durableId="1409838238">
    <w:abstractNumId w:val="13"/>
  </w:num>
  <w:num w:numId="10" w16cid:durableId="1434979153">
    <w:abstractNumId w:val="15"/>
  </w:num>
  <w:num w:numId="11" w16cid:durableId="1233657262">
    <w:abstractNumId w:val="17"/>
  </w:num>
  <w:num w:numId="12" w16cid:durableId="1104350790">
    <w:abstractNumId w:val="14"/>
  </w:num>
  <w:num w:numId="13" w16cid:durableId="1165705449">
    <w:abstractNumId w:val="20"/>
  </w:num>
  <w:num w:numId="14" w16cid:durableId="570121862">
    <w:abstractNumId w:val="4"/>
  </w:num>
  <w:num w:numId="15" w16cid:durableId="1327395575">
    <w:abstractNumId w:val="8"/>
  </w:num>
  <w:num w:numId="16" w16cid:durableId="1295058755">
    <w:abstractNumId w:val="7"/>
  </w:num>
  <w:num w:numId="17" w16cid:durableId="1392268492">
    <w:abstractNumId w:val="22"/>
  </w:num>
  <w:num w:numId="18" w16cid:durableId="1272862046">
    <w:abstractNumId w:val="19"/>
  </w:num>
  <w:num w:numId="19" w16cid:durableId="1356151391">
    <w:abstractNumId w:val="11"/>
  </w:num>
  <w:num w:numId="20" w16cid:durableId="1401751846">
    <w:abstractNumId w:val="1"/>
  </w:num>
  <w:num w:numId="21" w16cid:durableId="566572957">
    <w:abstractNumId w:val="12"/>
  </w:num>
  <w:num w:numId="22" w16cid:durableId="715276663">
    <w:abstractNumId w:val="21"/>
  </w:num>
  <w:num w:numId="23" w16cid:durableId="965431547">
    <w:abstractNumId w:val="0"/>
  </w:num>
  <w:num w:numId="24" w16cid:durableId="1967805987">
    <w:abstractNumId w:val="7"/>
  </w:num>
  <w:num w:numId="25" w16cid:durableId="1921596691">
    <w:abstractNumId w:val="7"/>
  </w:num>
  <w:num w:numId="26" w16cid:durableId="746919176">
    <w:abstractNumId w:val="7"/>
  </w:num>
  <w:num w:numId="27" w16cid:durableId="2124303536">
    <w:abstractNumId w:val="7"/>
  </w:num>
  <w:num w:numId="28" w16cid:durableId="50398009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0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CF2"/>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B37"/>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0E36"/>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E4C"/>
    <w:rsid w:val="004A5F62"/>
    <w:rsid w:val="004A6054"/>
    <w:rsid w:val="004A608E"/>
    <w:rsid w:val="004A639C"/>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D2C"/>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15"/>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832"/>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9FC"/>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A3A"/>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C53"/>
    <w:rsid w:val="00752908"/>
    <w:rsid w:val="00752A1E"/>
    <w:rsid w:val="00752B03"/>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5C6"/>
    <w:rsid w:val="007D7D58"/>
    <w:rsid w:val="007D7DFD"/>
    <w:rsid w:val="007E011B"/>
    <w:rsid w:val="007E053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B3C"/>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A78"/>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4A53"/>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4F"/>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17C"/>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BF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1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5"/>
      </w:numPr>
      <w:contextualSpacing/>
    </w:pPr>
    <w:rPr>
      <w:i/>
      <w:lang w:val="en-US"/>
    </w:rPr>
  </w:style>
  <w:style w:type="character" w:customStyle="1" w:styleId="ProposalChar">
    <w:name w:val="Proposal Char"/>
    <w:basedOn w:val="DefaultParagraphFont"/>
    <w:link w:val="Proposal"/>
    <w:qFormat/>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7"/>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4" Type="http://schemas.openxmlformats.org/officeDocument/2006/relationships/theme" Target="theme/theme1.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3GP24</b:Tag>
    <b:SourceType>Report</b:SourceType>
    <b:Guid>{FC4BDA72-39B4-429B-BA34-07995398A3D8}</b:Guid>
    <b:Author>
      <b:Author>
        <b:NameList>
          <b:Person>
            <b:Last>3GPP</b:Last>
          </b:Person>
        </b:NameList>
      </b:Author>
    </b:Author>
    <b:Title>TS 38.304, NR; UE procedures in Idle mode and RRC Inactive state (Release 18)</b:Title>
    <b:Year>2024</b:Year>
    <b:RefOrder>5</b:RefOrder>
  </b:Source>
  <b:Source>
    <b:Tag>Tür21</b:Tag>
    <b:SourceType>BookSection</b:SourceType>
    <b:Guid>{39AAD462-0262-4CBB-85C6-F9B246FF64AD}</b:Guid>
    <b:Title>Radio environment monitoring</b:Title>
    <b:Year>2021</b:Year>
    <b:Publisher>Wiley</b:Publisher>
    <b:Author>
      <b:Author>
        <b:NameList>
          <b:Person>
            <b:Last>Türkmen</b:Last>
            <b:First>H.,</b:First>
            <b:Middle>Rafique, S., &amp; Arslan, H.</b:Middle>
          </b:Person>
        </b:NameList>
      </b:Author>
    </b:Author>
    <b:BookTitle>Design and Analysis of Wireless Communication Signals: A Laboratory-based Approach</b:BookTitle>
    <b:RefOrder>3</b:RefOrder>
  </b:Source>
  <b:Source>
    <b:Tag>3GP</b:Tag>
    <b:SourceType>Report</b:SourceType>
    <b:Guid>{1725AABD-4546-4C2C-A02F-8C70047ABBAD}</b:Guid>
    <b:Title>RP-252912 Revised SID: Study on 6G Radio</b:Title>
    <b:Author>
      <b:Author>
        <b:NameList>
          <b:Person>
            <b:Last>3GPP</b:Last>
          </b:Person>
        </b:NameList>
      </b:Author>
    </b:Author>
    <b:RefOrder>1</b:RefOrder>
  </b:Source>
  <b:Source>
    <b:Tag>3GP1</b:Tag>
    <b:SourceType>Report</b:SourceType>
    <b:Guid>{863C4682-EAFA-4D71-8384-D90792774C30}</b:Guid>
    <b:Author>
      <b:Author>
        <b:NameList>
          <b:Person>
            <b:Last>3GPP</b:Last>
          </b:Person>
        </b:NameList>
      </b:Author>
    </b:Author>
    <b:Title>R1-2506702 Report of RAN1#122 Meeting</b:Title>
    <b:RefOrder>2</b:RefOrder>
  </b:Source>
  <b:Source>
    <b:Tag>3GP2</b:Tag>
    <b:SourceType>Report</b:SourceType>
    <b:Guid>{8C92AD41-5414-4927-A569-396C282103BF}</b:Guid>
    <b:Author>
      <b:Author>
        <b:NameList>
          <b:Person>
            <b:Last>3GPP</b:Last>
          </b:Person>
        </b:NameList>
      </b:Author>
    </b:Author>
    <b:Title>TR 38.843 Study on AI/ML for NR air interface (Release 19)</b:Title>
    <b:RefOrder>4</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701b467fbcefa65fb93e38cda3f45c30">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4d00c8fc2f2347433a92c1330a84095f"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FD03E1-E875-4E57-B47D-B1344E67AC57}">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AA36606-61C5-454A-AABD-756C5139352A}"/>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TotalTime>
  <Pages>3</Pages>
  <Words>1524</Words>
  <Characters>9708</Characters>
  <Application>Microsoft Office Word</Application>
  <DocSecurity>0</DocSecurity>
  <Lines>127</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11187</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18</cp:revision>
  <cp:lastPrinted>2016-06-23T10:35:00Z</cp:lastPrinted>
  <dcterms:created xsi:type="dcterms:W3CDTF">2025-10-02T14:16:00Z</dcterms:created>
  <dcterms:modified xsi:type="dcterms:W3CDTF">2025-11-07T06:43:00Z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